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027/2023</w:t>
            </w:r>
          </w:p>
          <w:p w:rsidR="00000000" w:rsidDel="00000000" w:rsidP="00000000" w:rsidRDefault="00000000" w:rsidRPr="00000000" w14:paraId="00000005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FÍSICA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Polo UAB: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1ª Etapa     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4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NtFavBx9W/2NzDcXQa7KS/kdcg==">CgMxLjA4AHIhMVAxVEQ5SHBMMnR6bVF0TTVKR3JmZHg5Qm5CQ25VMVNn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