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- EDITAL Nº 028/2023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BACHARELADO EM BIBLIOTECONOMIA NA MODALIDADE A DISTÂNCIA – SEAD/ UFES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Layout w:type="fixed"/>
        <w:tblLook w:val="0600"/>
      </w:tblPr>
      <w:tblGrid>
        <w:gridCol w:w="6096"/>
        <w:gridCol w:w="4536"/>
        <w:tblGridChange w:id="0">
          <w:tblGrid>
            <w:gridCol w:w="6096"/>
            <w:gridCol w:w="4536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ORIENTADOR DE TRABALHO DE CONCLUSÃO DE CURSO (TCC)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6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 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_______/_________/_________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CPF: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CARTEIRA DE IDENTIDADE: 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ÓRGÃO EXP.:_______________ UF: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DOUTORADO:_____________________________________________________________________________________________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MESTRADO: ______________________________________________________________________________________________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ESPECIALIZAÇÃO: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GRADUAÇÃO: 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RUA/N°: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_____________________________________ COMPLEMENTO: 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 ________________________________________ CEP: ___________________________ - ____________________________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(____) ____________________________           CELULAR: (____) 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uxQ0M96+fE0MzeuJqEpPzg+kFA==">CgMxLjA4AHIhMW52QnhfeUVPb29JYU1mdkhVbHh2YUR3OEp1TU1jU0dI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